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0A24919E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 xml:space="preserve">, </w:t>
      </w:r>
      <w:r w:rsidRPr="002D193C">
        <w:rPr>
          <w:sz w:val="18"/>
        </w:rPr>
        <w:t>dn</w:t>
      </w:r>
      <w:r w:rsidR="00F536EE" w:rsidRPr="002D193C">
        <w:rPr>
          <w:sz w:val="18"/>
        </w:rPr>
        <w:t>ia</w:t>
      </w:r>
      <w:r w:rsidR="002D193C" w:rsidRPr="00671D79">
        <w:rPr>
          <w:sz w:val="18"/>
        </w:rPr>
        <w:t xml:space="preserve"> </w:t>
      </w:r>
      <w:r w:rsidR="002D193C" w:rsidRPr="00C9283D">
        <w:rPr>
          <w:sz w:val="18"/>
        </w:rPr>
        <w:t>03.02.</w:t>
      </w:r>
      <w:r w:rsidRPr="00C9283D">
        <w:rPr>
          <w:sz w:val="18"/>
        </w:rPr>
        <w:t>202</w:t>
      </w:r>
      <w:r w:rsidR="002D193C" w:rsidRPr="00C9283D">
        <w:rPr>
          <w:sz w:val="18"/>
        </w:rPr>
        <w:t>6</w:t>
      </w:r>
      <w:r w:rsidRPr="002D193C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6571DC63" w14:textId="4D741A37" w:rsidR="00773EF0" w:rsidRDefault="00BA69EE" w:rsidP="00C9283D">
      <w:pPr>
        <w:spacing w:line="276" w:lineRule="auto"/>
        <w:ind w:left="2347" w:right="2167"/>
        <w:jc w:val="center"/>
        <w:rPr>
          <w:b/>
          <w:sz w:val="28"/>
        </w:rPr>
      </w:pPr>
      <w:r>
        <w:rPr>
          <w:b/>
        </w:rPr>
        <w:t xml:space="preserve">ZAPYTANIE </w:t>
      </w:r>
      <w:r w:rsidRPr="00841030">
        <w:rPr>
          <w:b/>
        </w:rPr>
        <w:t>OFERTOWE</w:t>
      </w:r>
      <w:r w:rsidR="00C4433E" w:rsidRPr="00841030">
        <w:rPr>
          <w:b/>
        </w:rPr>
        <w:t xml:space="preserve"> </w:t>
      </w:r>
      <w:r w:rsidR="00C93FDE" w:rsidRPr="00841030">
        <w:rPr>
          <w:b/>
        </w:rPr>
        <w:t xml:space="preserve">nr </w:t>
      </w:r>
      <w:r w:rsidR="00C93FDE" w:rsidRPr="00C9283D">
        <w:rPr>
          <w:b/>
        </w:rPr>
        <w:t>2</w:t>
      </w:r>
      <w:r w:rsidR="002D193C" w:rsidRPr="00C9283D">
        <w:rPr>
          <w:b/>
        </w:rPr>
        <w:t>6</w:t>
      </w:r>
      <w:r w:rsidR="00C93FDE" w:rsidRPr="00C9283D">
        <w:rPr>
          <w:b/>
        </w:rPr>
        <w:t>DFB</w:t>
      </w:r>
      <w:r w:rsidR="002D193C" w:rsidRPr="00C9283D">
        <w:rPr>
          <w:b/>
        </w:rPr>
        <w:t>M039</w:t>
      </w: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604C41B9" w:rsidR="00C4433E" w:rsidRPr="002E4C10" w:rsidRDefault="00BA69EE" w:rsidP="00023C9D">
      <w:pPr>
        <w:pStyle w:val="Nagwek2"/>
        <w:spacing w:line="276" w:lineRule="auto"/>
        <w:ind w:left="576"/>
        <w:jc w:val="both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</w:t>
      </w:r>
      <w:r w:rsidR="002D193C">
        <w:rPr>
          <w:bCs w:val="0"/>
          <w:u w:val="none"/>
        </w:rPr>
        <w:t xml:space="preserve"> sprzedaży i </w:t>
      </w:r>
      <w:r w:rsidR="002D193C" w:rsidRPr="002D193C">
        <w:rPr>
          <w:bCs w:val="0"/>
          <w:u w:val="none"/>
        </w:rPr>
        <w:t xml:space="preserve"> dostaw</w:t>
      </w:r>
      <w:r w:rsidR="002D193C">
        <w:rPr>
          <w:bCs w:val="0"/>
          <w:u w:val="none"/>
        </w:rPr>
        <w:t>y</w:t>
      </w:r>
      <w:r w:rsidR="002D193C" w:rsidRPr="002D193C">
        <w:rPr>
          <w:bCs w:val="0"/>
          <w:u w:val="none"/>
        </w:rPr>
        <w:t xml:space="preserve"> zaworu regulacyjnego typu Z1B</w:t>
      </w:r>
      <w:r w:rsidR="00023C9D">
        <w:rPr>
          <w:bCs w:val="0"/>
          <w:u w:val="none"/>
        </w:rPr>
        <w:t>-</w:t>
      </w:r>
      <w:r w:rsidR="002D193C" w:rsidRPr="002D193C">
        <w:rPr>
          <w:bCs w:val="0"/>
          <w:u w:val="none"/>
        </w:rPr>
        <w:t>1D480L3</w:t>
      </w:r>
      <w:r w:rsidR="00023C9D">
        <w:rPr>
          <w:bCs w:val="0"/>
          <w:u w:val="none"/>
        </w:rPr>
        <w:t xml:space="preserve"> PN 16 DN 200</w:t>
      </w:r>
      <w:r w:rsidR="002D193C" w:rsidRPr="002D193C">
        <w:rPr>
          <w:bCs w:val="0"/>
          <w:u w:val="none"/>
        </w:rPr>
        <w:t xml:space="preserve"> z napędem AUMA do układu Nawęglania w E</w:t>
      </w:r>
      <w:r w:rsidR="002D193C">
        <w:rPr>
          <w:bCs w:val="0"/>
          <w:u w:val="none"/>
        </w:rPr>
        <w:t>C</w:t>
      </w:r>
      <w:r w:rsidR="002D193C" w:rsidRPr="002D193C">
        <w:rPr>
          <w:bCs w:val="0"/>
          <w:u w:val="none"/>
        </w:rPr>
        <w:t xml:space="preserve"> Siekierki</w:t>
      </w:r>
      <w:r w:rsidR="002D193C">
        <w:rPr>
          <w:bCs w:val="0"/>
          <w:u w:val="none"/>
        </w:rPr>
        <w:t xml:space="preserve"> w Warszawie</w:t>
      </w:r>
      <w:r w:rsidR="002D193C" w:rsidRPr="002D193C">
        <w:rPr>
          <w:bCs w:val="0"/>
          <w:u w:val="none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D6823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D682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4D682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CD094DD" w:rsidR="00EA7AF6" w:rsidRPr="002E4C10" w:rsidRDefault="00EA7AF6" w:rsidP="004D682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rzeczywistym”</w:t>
      </w:r>
      <w:r w:rsidR="002D193C" w:rsidRPr="00C9283D">
        <w:rPr>
          <w:sz w:val="18"/>
          <w:szCs w:val="18"/>
        </w:rPr>
        <w:t>,</w:t>
      </w:r>
    </w:p>
    <w:p w14:paraId="73FDC68C" w14:textId="5D54820F" w:rsidR="00EC38EE" w:rsidRPr="002E4C10" w:rsidRDefault="00EC38EE" w:rsidP="004D682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 Warunki Zakupu Towarów (OWZ)</w:t>
      </w:r>
      <w:r w:rsidR="00CC5960" w:rsidRPr="002E4C10">
        <w:rPr>
          <w:sz w:val="18"/>
          <w:szCs w:val="18"/>
        </w:rPr>
        <w:t xml:space="preserve"> </w:t>
      </w:r>
    </w:p>
    <w:p w14:paraId="2163EB99" w14:textId="5EE7D1AC" w:rsidR="00EC38EE" w:rsidRPr="002E4C10" w:rsidRDefault="00EC38EE" w:rsidP="004D682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Default="00BA69EE" w:rsidP="004D6823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287ECB81" w14:textId="44816749" w:rsidR="00841030" w:rsidRPr="00C9283D" w:rsidRDefault="00841030" w:rsidP="004D6823">
      <w:pPr>
        <w:pStyle w:val="Akapitzlist"/>
        <w:numPr>
          <w:ilvl w:val="0"/>
          <w:numId w:val="2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Przedmiotem Zapytania Ofertowego jest sprzedaż i dostawa zaworu regulacyjnego typu </w:t>
      </w:r>
      <w:r w:rsidRPr="00C9283D">
        <w:rPr>
          <w:sz w:val="18"/>
          <w:szCs w:val="18"/>
        </w:rPr>
        <w:t xml:space="preserve">Z1B-1D480L3, PN 16, DN 200 wraz z przyłączem kołnierzowym PN-EN 1092-1-B1 i napędem AUMA </w:t>
      </w:r>
      <w:r>
        <w:rPr>
          <w:sz w:val="18"/>
          <w:szCs w:val="18"/>
        </w:rPr>
        <w:t xml:space="preserve">z przeznaczeniem dla </w:t>
      </w:r>
      <w:r w:rsidRPr="00C9283D">
        <w:rPr>
          <w:rFonts w:eastAsia="Times New Roman"/>
          <w:bCs/>
          <w:iCs/>
          <w:sz w:val="18"/>
          <w:szCs w:val="18"/>
          <w:lang w:bidi="ar-SA"/>
        </w:rPr>
        <w:t>układu Nawęglania w EC Siekierki w Warszawie</w:t>
      </w:r>
      <w:r w:rsidRPr="00841030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0064AB02" w14:textId="631C2B25" w:rsidR="00841030" w:rsidRPr="002E4C10" w:rsidRDefault="00841030" w:rsidP="004D6823">
      <w:pPr>
        <w:pStyle w:val="Akapitzlist"/>
        <w:numPr>
          <w:ilvl w:val="0"/>
          <w:numId w:val="21"/>
        </w:numPr>
        <w:autoSpaceDE/>
        <w:autoSpaceDN/>
        <w:spacing w:before="120" w:line="276" w:lineRule="auto"/>
        <w:jc w:val="both"/>
        <w:outlineLvl w:val="1"/>
      </w:pPr>
      <w:r w:rsidRPr="00C9283D">
        <w:rPr>
          <w:rFonts w:eastAsia="Times New Roman"/>
          <w:bCs/>
          <w:iCs/>
          <w:sz w:val="18"/>
          <w:szCs w:val="18"/>
          <w:lang w:bidi="ar-SA"/>
        </w:rPr>
        <w:t>Szczegółowe warunki wykonania Zapytania Ofertowego znajdują się w załączonym OWZ</w:t>
      </w:r>
      <w:r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032A2A77" w14:textId="5FF7F40E" w:rsidR="00A74EC7" w:rsidRPr="002E4C10" w:rsidRDefault="00A74EC7" w:rsidP="004D6823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42EA9B54" w:rsidR="00A74EC7" w:rsidRPr="002E4C10" w:rsidRDefault="00A74EC7" w:rsidP="004D682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841030" w:rsidRPr="00023C9D">
        <w:rPr>
          <w:rFonts w:eastAsia="Times New Roman"/>
          <w:b/>
          <w:bCs/>
          <w:iCs/>
          <w:sz w:val="18"/>
          <w:szCs w:val="18"/>
          <w:lang w:bidi="ar-SA"/>
        </w:rPr>
        <w:t>do 29.05.2026r.</w:t>
      </w:r>
    </w:p>
    <w:p w14:paraId="4CF98182" w14:textId="64CC91F4" w:rsidR="00693CC7" w:rsidRDefault="00693CC7" w:rsidP="004D682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9283D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C9283D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C9283D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71498F43" w14:textId="77777777" w:rsidR="002F3E96" w:rsidRDefault="002F3E96" w:rsidP="002F3E96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eastAsia="sv-SE" w:bidi="ar-SA"/>
        </w:rPr>
      </w:pPr>
      <w:r w:rsidRPr="002E4C10">
        <w:rPr>
          <w:rFonts w:eastAsia="Times New Roman"/>
          <w:bCs/>
          <w:iCs/>
          <w:sz w:val="18"/>
          <w:szCs w:val="18"/>
          <w:lang w:eastAsia="sv-SE" w:bidi="ar-SA"/>
        </w:rPr>
        <w:t xml:space="preserve">Elektrociepłownia Siekierki ul. Augustówka 30, Warszawa </w:t>
      </w:r>
    </w:p>
    <w:p w14:paraId="2E09E079" w14:textId="77777777" w:rsidR="002F3E96" w:rsidRPr="002E4C10" w:rsidRDefault="002F3E96" w:rsidP="002F3E96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Dostawa winna być zaawizowana co najmniej 2 dni robocze wcześniej niż planowana data dostawy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>z</w:t>
      </w:r>
      <w:r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podaniem informacji na temat sposobu pakowania (ilość palet/wymiary opakowań). Awizacji Dostawca dokona do następujących osób:</w:t>
      </w:r>
    </w:p>
    <w:p w14:paraId="4BF5416C" w14:textId="77777777" w:rsidR="002F3E96" w:rsidRPr="002E4C10" w:rsidRDefault="002F3E96" w:rsidP="002F3E96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1ADBA04E" w14:textId="77777777" w:rsidR="002F3E96" w:rsidRPr="007C03A2" w:rsidRDefault="002F3E96" w:rsidP="004D6823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7AB86973" w14:textId="76A1A287" w:rsidR="002F3E96" w:rsidRDefault="002F3E96" w:rsidP="004D6823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Marek Trompka, tel.: 22 587 36 83, kom. 504 369 720, e-mail: </w:t>
      </w:r>
      <w:hyperlink r:id="rId10" w:history="1">
        <w:r w:rsidRPr="002F3E96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</w:p>
    <w:p w14:paraId="547AB5DB" w14:textId="7E24DC6E" w:rsidR="00A74EC7" w:rsidRPr="00841030" w:rsidRDefault="002F3E96" w:rsidP="004D682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841030">
        <w:rPr>
          <w:rFonts w:eastAsia="Times New Roman"/>
          <w:bCs/>
          <w:iCs/>
          <w:sz w:val="18"/>
          <w:szCs w:val="18"/>
          <w:lang w:bidi="ar-SA"/>
        </w:rPr>
        <w:t>W sytuacji, gdy z przyczyn niezależnych od Dostawcy, dochowanie terminu dostawy materiałów stało się niemożliwe jeszcze przed podpisaniem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Zamówienia</w:t>
      </w:r>
      <w:r w:rsidRPr="00841030">
        <w:rPr>
          <w:rFonts w:eastAsia="Times New Roman"/>
          <w:bCs/>
          <w:iCs/>
          <w:sz w:val="18"/>
          <w:szCs w:val="18"/>
          <w:lang w:bidi="ar-SA"/>
        </w:rPr>
        <w:t xml:space="preserve">, Zlecający dopuszcza możliwość przesunięcia terminu </w:t>
      </w:r>
      <w:r>
        <w:rPr>
          <w:rFonts w:eastAsia="Times New Roman"/>
          <w:bCs/>
          <w:iCs/>
          <w:sz w:val="18"/>
          <w:szCs w:val="18"/>
          <w:lang w:bidi="ar-SA"/>
        </w:rPr>
        <w:t>dostawy</w:t>
      </w:r>
      <w:r w:rsidRPr="00841030">
        <w:rPr>
          <w:rFonts w:eastAsia="Times New Roman"/>
          <w:bCs/>
          <w:iCs/>
          <w:sz w:val="18"/>
          <w:szCs w:val="18"/>
          <w:lang w:bidi="ar-SA"/>
        </w:rPr>
        <w:t xml:space="preserve"> po uzgodnieniu nowego terminu ze Zlecającym.</w:t>
      </w:r>
    </w:p>
    <w:p w14:paraId="60261C4A" w14:textId="77777777" w:rsidR="00965F06" w:rsidRPr="002E4C10" w:rsidRDefault="00965F06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D6823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D6823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D6823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D6823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D6823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D6823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lastRenderedPageBreak/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D6823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D6823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4D6823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4D6823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2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4D6823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FF4B6F" w:rsidRDefault="00956C3E" w:rsidP="004D6823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 xml:space="preserve">– wymóg dotyczy podmiotów krajowych, </w:t>
      </w: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C9283D">
        <w:rPr>
          <w:sz w:val="20"/>
          <w:szCs w:val="20"/>
        </w:rPr>
        <w:t xml:space="preserve">Część </w:t>
      </w:r>
      <w:r w:rsidRPr="002F3E96">
        <w:rPr>
          <w:sz w:val="20"/>
          <w:szCs w:val="20"/>
        </w:rPr>
        <w:t>techniczna</w:t>
      </w:r>
      <w:r w:rsidRPr="00C9283D">
        <w:rPr>
          <w:sz w:val="20"/>
          <w:szCs w:val="20"/>
          <w:u w:val="thick"/>
        </w:rPr>
        <w:t>:</w:t>
      </w:r>
    </w:p>
    <w:p w14:paraId="0440406D" w14:textId="6FFF0EA1" w:rsidR="00935FAE" w:rsidRDefault="00C152E7" w:rsidP="00B46A7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Potwierdzenie</w:t>
      </w:r>
      <w:r w:rsidR="00935FAE" w:rsidRPr="00935FAE">
        <w:rPr>
          <w:sz w:val="18"/>
          <w:szCs w:val="18"/>
        </w:rPr>
        <w:t>, że oferowany towar jest zgodny z parametrami podanymi przez Zamawiającego</w:t>
      </w:r>
      <w:r w:rsidR="00935FAE">
        <w:rPr>
          <w:sz w:val="18"/>
          <w:szCs w:val="18"/>
        </w:rPr>
        <w:t>.</w:t>
      </w:r>
    </w:p>
    <w:p w14:paraId="68E7300E" w14:textId="3B09DBC1" w:rsidR="00B46A75" w:rsidRPr="00B46A75" w:rsidRDefault="00B46A75" w:rsidP="00B46A7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B46A75">
        <w:rPr>
          <w:sz w:val="18"/>
          <w:szCs w:val="18"/>
        </w:rPr>
        <w:t>Oświadczenie, że oferowany towar został wyprodukowany nie wcześniej niż w roku 2025, jest oryginalny i objęty 24 miesięczną gwarancją (Wykonawca posiada autoryzację producenta do realizacji ewentualnych działań serwisu gwarancyjnego wobec Zamawiającego w przypadku kiedy Dostawca nie jest producentem).</w:t>
      </w:r>
    </w:p>
    <w:p w14:paraId="0D941690" w14:textId="7E88D781" w:rsidR="00B46A75" w:rsidRDefault="00B46A75" w:rsidP="00B46A7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Oświadczenie, że o</w:t>
      </w:r>
      <w:r w:rsidRPr="00B46A75">
        <w:rPr>
          <w:sz w:val="18"/>
          <w:szCs w:val="18"/>
        </w:rPr>
        <w:t>ferowany towar będzie wyprodukowany na terenie Unii Europejskiej</w:t>
      </w:r>
      <w:r>
        <w:rPr>
          <w:sz w:val="18"/>
          <w:szCs w:val="18"/>
        </w:rPr>
        <w:t>,</w:t>
      </w:r>
    </w:p>
    <w:p w14:paraId="4CF65252" w14:textId="5B514724" w:rsidR="00B46A75" w:rsidRPr="00B46A75" w:rsidRDefault="00B46A75" w:rsidP="00B46A7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B46A75">
        <w:rPr>
          <w:sz w:val="18"/>
          <w:szCs w:val="18"/>
        </w:rPr>
        <w:t>Oświadczenie, iż w przypadku wyboru danej oferty Dostawca dostarczy wraz z towarem kartę katalogową, świadectwa kontroli jakości, deklarację zgodności.</w:t>
      </w:r>
    </w:p>
    <w:p w14:paraId="7E0EA66F" w14:textId="77777777" w:rsidR="00956C3E" w:rsidRPr="002E4C10" w:rsidRDefault="00956C3E" w:rsidP="002F3E96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C9283D">
        <w:rPr>
          <w:sz w:val="20"/>
          <w:szCs w:val="20"/>
        </w:rPr>
        <w:t>:</w:t>
      </w:r>
    </w:p>
    <w:p w14:paraId="6497FA9F" w14:textId="77777777" w:rsidR="00956C3E" w:rsidRDefault="00956C3E" w:rsidP="004D6823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5B287485" w:rsidR="00956C3E" w:rsidRPr="00956C3E" w:rsidRDefault="00956C3E" w:rsidP="004D6823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2F3E96">
        <w:rPr>
          <w:b/>
          <w:sz w:val="18"/>
        </w:rPr>
        <w:t>waga</w:t>
      </w:r>
      <w:r w:rsidRPr="002F3E96">
        <w:rPr>
          <w:b/>
          <w:spacing w:val="-3"/>
          <w:sz w:val="18"/>
        </w:rPr>
        <w:t xml:space="preserve"> </w:t>
      </w:r>
      <w:r w:rsidRPr="00C9283D">
        <w:rPr>
          <w:b/>
          <w:sz w:val="18"/>
        </w:rPr>
        <w:t>100%</w:t>
      </w:r>
      <w:r w:rsidR="002F3E96" w:rsidRPr="002F3E96">
        <w:rPr>
          <w:b/>
          <w:sz w:val="18"/>
        </w:rPr>
        <w:t>.</w:t>
      </w:r>
      <w:r w:rsidRPr="00956C3E">
        <w:rPr>
          <w:bCs/>
          <w:sz w:val="18"/>
        </w:rPr>
        <w:t xml:space="preserve"> </w:t>
      </w:r>
    </w:p>
    <w:p w14:paraId="5243C875" w14:textId="7039773C" w:rsidR="006D31C6" w:rsidRPr="002E4C10" w:rsidRDefault="00C1418F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7AB5223B" w:rsidR="00956C3E" w:rsidRPr="00C01D44" w:rsidRDefault="00956C3E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 xml:space="preserve">Wyłącznie </w:t>
      </w:r>
      <w:r w:rsidR="006143FF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C01D44">
        <w:rPr>
          <w:rFonts w:eastAsia="Times New Roman"/>
          <w:bCs/>
          <w:iCs/>
          <w:sz w:val="18"/>
          <w:szCs w:val="18"/>
          <w:lang w:bidi="ar-SA"/>
        </w:rPr>
        <w:t>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3" o:title=""/>
          </v:shape>
          <o:OLEObject Type="Embed" ProgID="Equation.3" ShapeID="_x0000_i1025" DrawAspect="Content" ObjectID="_1831712965" r:id="rId14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lastRenderedPageBreak/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266CC9FB" w14:textId="108CBB68" w:rsidR="00C1418F" w:rsidRPr="00C9283D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Zlecający po dokonaniu oceny ofert w celu wyboru najkorzystniejszej oferty przewiduje przeprowadzenie aukcji </w:t>
      </w:r>
      <w:r w:rsidR="001D6359" w:rsidRPr="00C9283D">
        <w:rPr>
          <w:rFonts w:eastAsia="Times New Roman"/>
          <w:bCs/>
          <w:iCs/>
          <w:sz w:val="18"/>
          <w:szCs w:val="18"/>
          <w:lang w:bidi="ar-SA"/>
        </w:rPr>
        <w:t xml:space="preserve">elektronicznej </w:t>
      </w:r>
      <w:r w:rsidRPr="00C9283D">
        <w:rPr>
          <w:rFonts w:eastAsia="Times New Roman"/>
          <w:bCs/>
          <w:iCs/>
          <w:sz w:val="18"/>
          <w:szCs w:val="18"/>
          <w:lang w:bidi="ar-SA"/>
        </w:rPr>
        <w:t>i/lub negocjacje handlowe.</w:t>
      </w:r>
    </w:p>
    <w:p w14:paraId="368D719C" w14:textId="414222FE" w:rsidR="00C1418F" w:rsidRPr="00C9283D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Oferta </w:t>
      </w:r>
      <w:r w:rsidR="005F28C3" w:rsidRPr="00C9283D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D6823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C9283D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C9283D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D6823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D6823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D6823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D6823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44BE3907" w:rsidR="00DC31D2" w:rsidRPr="00FF4B6F" w:rsidRDefault="00DC31D2" w:rsidP="004D6823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C9283D">
        <w:rPr>
          <w:sz w:val="18"/>
          <w:szCs w:val="18"/>
        </w:rPr>
        <w:t>(100%) - 100 pkt – np</w:t>
      </w:r>
      <w:r w:rsidRPr="00FF4B6F">
        <w:rPr>
          <w:sz w:val="18"/>
          <w:szCs w:val="18"/>
        </w:rPr>
        <w:t>. cena maksymalna netto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</w:t>
      </w:r>
      <w:r w:rsidR="002F3E96">
        <w:rPr>
          <w:sz w:val="18"/>
          <w:szCs w:val="18"/>
        </w:rPr>
        <w:t>e</w:t>
      </w:r>
      <w:r w:rsidR="002B1772" w:rsidRPr="00FF4B6F">
        <w:rPr>
          <w:sz w:val="18"/>
          <w:szCs w:val="18"/>
        </w:rPr>
        <w:t>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D6823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D6823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D6823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D6823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D6823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D6823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4252"/>
      </w:tblGrid>
      <w:tr w:rsidR="001C006C" w:rsidRPr="00E11BB4" w14:paraId="7D3D8644" w14:textId="77777777" w:rsidTr="00023C9D">
        <w:trPr>
          <w:cantSplit/>
          <w:trHeight w:val="365"/>
          <w:jc w:val="center"/>
        </w:trPr>
        <w:tc>
          <w:tcPr>
            <w:tcW w:w="1276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252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023C9D">
        <w:trPr>
          <w:cantSplit/>
          <w:trHeight w:val="524"/>
          <w:jc w:val="center"/>
        </w:trPr>
        <w:tc>
          <w:tcPr>
            <w:tcW w:w="1276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402" w:type="dxa"/>
            <w:vAlign w:val="center"/>
          </w:tcPr>
          <w:p w14:paraId="1CFE612E" w14:textId="26DD62A0" w:rsidR="001C006C" w:rsidRPr="005A1A2A" w:rsidRDefault="00C9283D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Łukasz Kuciński</w:t>
            </w:r>
          </w:p>
        </w:tc>
        <w:tc>
          <w:tcPr>
            <w:tcW w:w="4252" w:type="dxa"/>
            <w:vAlign w:val="center"/>
          </w:tcPr>
          <w:p w14:paraId="65E2D350" w14:textId="161D5757" w:rsidR="001C006C" w:rsidRPr="005A1A2A" w:rsidRDefault="00C9283D" w:rsidP="00C9283D">
            <w:pPr>
              <w:tabs>
                <w:tab w:val="right" w:pos="9637"/>
              </w:tabs>
              <w:jc w:val="center"/>
            </w:pPr>
            <w:r w:rsidRPr="00C9283D">
              <w:rPr>
                <w:sz w:val="20"/>
              </w:rPr>
              <w:t>Marek Kujawa</w:t>
            </w:r>
          </w:p>
        </w:tc>
      </w:tr>
      <w:tr w:rsidR="001C006C" w:rsidRPr="00E11BB4" w14:paraId="498E09C8" w14:textId="77777777" w:rsidTr="00023C9D">
        <w:trPr>
          <w:cantSplit/>
          <w:trHeight w:val="396"/>
          <w:jc w:val="center"/>
        </w:trPr>
        <w:tc>
          <w:tcPr>
            <w:tcW w:w="1276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402" w:type="dxa"/>
            <w:vAlign w:val="center"/>
          </w:tcPr>
          <w:p w14:paraId="2E451078" w14:textId="7EAC5575" w:rsidR="001C006C" w:rsidRPr="00C9283D" w:rsidRDefault="00C9283D" w:rsidP="00514024">
            <w:pPr>
              <w:tabs>
                <w:tab w:val="right" w:pos="9637"/>
              </w:tabs>
              <w:jc w:val="center"/>
              <w:rPr>
                <w:rStyle w:val="Hipercze"/>
                <w:sz w:val="20"/>
                <w:szCs w:val="20"/>
              </w:rPr>
            </w:pPr>
            <w:r w:rsidRPr="00C9283D">
              <w:rPr>
                <w:rStyle w:val="Hipercze"/>
                <w:sz w:val="20"/>
                <w:szCs w:val="20"/>
              </w:rPr>
              <w:t>lukasz.kucinski@termika.orlen.pl</w:t>
            </w:r>
          </w:p>
        </w:tc>
        <w:tc>
          <w:tcPr>
            <w:tcW w:w="4252" w:type="dxa"/>
            <w:vAlign w:val="center"/>
          </w:tcPr>
          <w:p w14:paraId="2A95A2A9" w14:textId="1537BC44" w:rsidR="001C006C" w:rsidRPr="00C9283D" w:rsidRDefault="00C9283D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5" w:history="1">
              <w:r w:rsidRPr="00C9283D">
                <w:rPr>
                  <w:rStyle w:val="Hipercze"/>
                  <w:sz w:val="20"/>
                  <w:szCs w:val="20"/>
                </w:rPr>
                <w:t>marek.kujawa@termika.orlen.pl</w:t>
              </w:r>
            </w:hyperlink>
          </w:p>
        </w:tc>
      </w:tr>
      <w:tr w:rsidR="001C006C" w:rsidRPr="00E11BB4" w14:paraId="2B82E23B" w14:textId="77777777" w:rsidTr="00023C9D">
        <w:trPr>
          <w:cantSplit/>
          <w:trHeight w:val="401"/>
          <w:jc w:val="center"/>
        </w:trPr>
        <w:tc>
          <w:tcPr>
            <w:tcW w:w="1276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402" w:type="dxa"/>
            <w:vAlign w:val="center"/>
          </w:tcPr>
          <w:p w14:paraId="7230E6AA" w14:textId="16EBF08F" w:rsidR="001C006C" w:rsidRPr="00F7741C" w:rsidRDefault="001C006C" w:rsidP="00023C9D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508 005</w:t>
            </w:r>
            <w:r w:rsidR="00023C9D">
              <w:rPr>
                <w:sz w:val="20"/>
                <w:lang w:val="sv-SE"/>
              </w:rPr>
              <w:t> </w:t>
            </w:r>
            <w:r w:rsidR="00C9283D">
              <w:rPr>
                <w:sz w:val="20"/>
                <w:lang w:val="sv-SE"/>
              </w:rPr>
              <w:t>637</w:t>
            </w:r>
          </w:p>
        </w:tc>
        <w:tc>
          <w:tcPr>
            <w:tcW w:w="4252" w:type="dxa"/>
            <w:vAlign w:val="center"/>
          </w:tcPr>
          <w:p w14:paraId="07859A73" w14:textId="4220D75F" w:rsidR="001C006C" w:rsidRPr="00553E8C" w:rsidRDefault="00023C9D" w:rsidP="00023C9D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508 005</w:t>
            </w:r>
            <w:r>
              <w:rPr>
                <w:sz w:val="20"/>
                <w:lang w:val="sv-SE"/>
              </w:rPr>
              <w:t> 726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275CF435" w:rsidR="00701D5B" w:rsidRPr="00C9283D" w:rsidRDefault="00701D5B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C9283D">
        <w:t xml:space="preserve">WIZJA LOKALNA </w:t>
      </w:r>
    </w:p>
    <w:p w14:paraId="2AFFEAA3" w14:textId="31DF854B" w:rsidR="00701D5B" w:rsidRPr="00C9283D" w:rsidRDefault="00701D5B" w:rsidP="00C9283D">
      <w:pPr>
        <w:pStyle w:val="Akapitzlist"/>
        <w:autoSpaceDE/>
        <w:autoSpaceDN/>
        <w:spacing w:before="120" w:line="276" w:lineRule="auto"/>
        <w:ind w:left="567" w:firstLine="0"/>
        <w:jc w:val="both"/>
        <w:outlineLvl w:val="1"/>
        <w:rPr>
          <w:sz w:val="18"/>
        </w:rPr>
      </w:pPr>
    </w:p>
    <w:p w14:paraId="2AA6E6A7" w14:textId="60353EE9" w:rsidR="0050366D" w:rsidRPr="004440C7" w:rsidRDefault="00701D5B" w:rsidP="004D6823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</w:pPr>
      <w:r w:rsidRPr="00C9283D">
        <w:rPr>
          <w:sz w:val="18"/>
        </w:rPr>
        <w:lastRenderedPageBreak/>
        <w:t xml:space="preserve">Zlecający nie </w:t>
      </w:r>
      <w:r w:rsidRPr="00C9283D">
        <w:rPr>
          <w:sz w:val="18"/>
          <w:szCs w:val="18"/>
        </w:rPr>
        <w:t>przewiduje</w:t>
      </w:r>
      <w:r w:rsidRPr="00C9283D">
        <w:rPr>
          <w:sz w:val="18"/>
        </w:rPr>
        <w:t xml:space="preserve"> przeprowadzenia wizji lokalnej.</w:t>
      </w:r>
    </w:p>
    <w:p w14:paraId="1710EAFE" w14:textId="5469286E" w:rsidR="00773EF0" w:rsidRPr="007C03A2" w:rsidRDefault="00BA69EE" w:rsidP="004D6823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D6823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D6823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D6823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D6823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D6823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3C959F1E" w14:textId="20476C47" w:rsidR="00C80831" w:rsidRPr="00C9283D" w:rsidRDefault="00C80831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C9283D">
        <w:rPr>
          <w:sz w:val="18"/>
        </w:rPr>
        <w:t xml:space="preserve">Zamawiający może, według własnego uznania, w każdym czasie przed podpisaniem </w:t>
      </w:r>
      <w:r>
        <w:rPr>
          <w:sz w:val="18"/>
        </w:rPr>
        <w:t>Umowy/</w:t>
      </w:r>
      <w:r w:rsidRPr="00C9283D">
        <w:rPr>
          <w:sz w:val="18"/>
        </w:rPr>
        <w:t xml:space="preserve">Zamówienia, wykluczyć </w:t>
      </w:r>
      <w:r w:rsidR="006143FF">
        <w:rPr>
          <w:sz w:val="18"/>
        </w:rPr>
        <w:t>Dostawcę</w:t>
      </w:r>
      <w:r w:rsidRPr="00C9283D">
        <w:rPr>
          <w:sz w:val="18"/>
        </w:rPr>
        <w:t xml:space="preserve"> z procesu zakupowego i/lub odrzucić jego ofertę, w przypadku, gdy </w:t>
      </w:r>
      <w:r w:rsidR="006143FF">
        <w:rPr>
          <w:sz w:val="18"/>
        </w:rPr>
        <w:t>Dostawca</w:t>
      </w:r>
      <w:r w:rsidRPr="00C9283D">
        <w:rPr>
          <w:sz w:val="18"/>
        </w:rPr>
        <w:t xml:space="preserve"> lub zaproponowani przez niego dostawcy lub podwykonawcy oferują produkt lub usługę pochodzącą z państwa trzeciego, przez które należy rozumieć państwo: inne niż państwo członkowskie Unii Europejskiej, lub</w:t>
      </w:r>
      <w:r>
        <w:rPr>
          <w:sz w:val="18"/>
        </w:rPr>
        <w:t>:</w:t>
      </w:r>
    </w:p>
    <w:p w14:paraId="5306130C" w14:textId="6135D9C8" w:rsidR="00C80831" w:rsidRPr="00C80831" w:rsidRDefault="00C80831" w:rsidP="004D6823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C80831">
        <w:rPr>
          <w:sz w:val="18"/>
        </w:rPr>
        <w:t xml:space="preserve">inne niż państwo będące stroną Porozumienia Światowej Organizacji Handlu (WTO) w sprawie zamówień rządowych, lub </w:t>
      </w:r>
    </w:p>
    <w:p w14:paraId="7335E1F3" w14:textId="6240B8CE" w:rsidR="00C80831" w:rsidRPr="00C9283D" w:rsidRDefault="00C80831" w:rsidP="004D6823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C80831">
        <w:rPr>
          <w:sz w:val="18"/>
        </w:rPr>
        <w:t xml:space="preserve">inne niż państwo będące stroną umowy międzynarodowej z UE, która gwarantuje wzajemny i równy dostęp do rynku zamówień publicznych. </w:t>
      </w:r>
    </w:p>
    <w:p w14:paraId="026F9647" w14:textId="12149B2E" w:rsidR="00C80831" w:rsidRPr="00C9283D" w:rsidRDefault="00C80831" w:rsidP="00C9283D">
      <w:pPr>
        <w:autoSpaceDE/>
        <w:autoSpaceDN/>
        <w:spacing w:before="120" w:line="276" w:lineRule="auto"/>
        <w:ind w:left="568"/>
        <w:jc w:val="both"/>
        <w:outlineLvl w:val="1"/>
        <w:rPr>
          <w:sz w:val="18"/>
        </w:rPr>
      </w:pPr>
      <w:r w:rsidRPr="00C9283D">
        <w:rPr>
          <w:sz w:val="18"/>
        </w:rPr>
        <w:t xml:space="preserve">Zamawiający niezwłocznie powiadomi </w:t>
      </w:r>
      <w:r w:rsidR="006143FF">
        <w:rPr>
          <w:sz w:val="18"/>
        </w:rPr>
        <w:t>Dostawcę</w:t>
      </w:r>
      <w:r w:rsidRPr="00C9283D">
        <w:rPr>
          <w:sz w:val="18"/>
        </w:rPr>
        <w:t xml:space="preserve"> o jego wykluczeniu i/lub odrzuceniu jego oferty, a </w:t>
      </w:r>
      <w:r w:rsidR="006143FF">
        <w:rPr>
          <w:sz w:val="18"/>
        </w:rPr>
        <w:t xml:space="preserve"> Dostawcy</w:t>
      </w:r>
      <w:r w:rsidRPr="00C9283D">
        <w:rPr>
          <w:sz w:val="18"/>
        </w:rPr>
        <w:t xml:space="preserve"> nie będą przysługiwać jakiekolwiek roszczenia wobec Zamawiającego z tego tytułu.</w:t>
      </w:r>
    </w:p>
    <w:p w14:paraId="2D30B875" w14:textId="45A5BDCF" w:rsidR="00773EF0" w:rsidRPr="002E4C10" w:rsidRDefault="00BA69EE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D6823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D6E201D" w14:textId="77777777" w:rsidR="002F3E96" w:rsidRPr="009D5D7B" w:rsidRDefault="002F3E96" w:rsidP="002F3E96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 w:rsidRPr="009D5D7B">
        <w:rPr>
          <w:b/>
          <w:bCs/>
          <w:color w:val="000000" w:themeColor="text1"/>
          <w:sz w:val="18"/>
          <w:szCs w:val="18"/>
        </w:rPr>
        <w:t xml:space="preserve">Łukasz Kuciński </w:t>
      </w:r>
    </w:p>
    <w:p w14:paraId="14D2D393" w14:textId="77777777" w:rsidR="002F3E96" w:rsidRPr="009D5D7B" w:rsidRDefault="002F3E96" w:rsidP="002F3E96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9D5D7B">
        <w:rPr>
          <w:color w:val="000000" w:themeColor="text1"/>
          <w:sz w:val="18"/>
          <w:szCs w:val="18"/>
        </w:rPr>
        <w:t>ORLEN Termika S.A.</w:t>
      </w:r>
    </w:p>
    <w:p w14:paraId="770B7C79" w14:textId="77777777" w:rsidR="002F3E96" w:rsidRPr="009D5D7B" w:rsidRDefault="002F3E96" w:rsidP="002F3E96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9D5D7B">
        <w:rPr>
          <w:color w:val="000000" w:themeColor="text1"/>
          <w:sz w:val="18"/>
          <w:szCs w:val="18"/>
        </w:rPr>
        <w:t>ul. Modlińska 15, 03-216 Warszawa</w:t>
      </w:r>
    </w:p>
    <w:p w14:paraId="0F1F9FD7" w14:textId="703861D4" w:rsidR="001843E5" w:rsidRPr="00CF5F77" w:rsidRDefault="002F3E9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9D5D7B">
        <w:rPr>
          <w:color w:val="000000" w:themeColor="text1"/>
          <w:sz w:val="18"/>
          <w:szCs w:val="18"/>
        </w:rPr>
        <w:t>tel. +48 22 587 84 78</w:t>
      </w:r>
      <w:r w:rsidRPr="009D5D7B">
        <w:rPr>
          <w:color w:val="000000" w:themeColor="text1"/>
          <w:sz w:val="18"/>
          <w:szCs w:val="18"/>
        </w:rPr>
        <w:br/>
        <w:t>tel. kom. +48 508 005 637</w:t>
      </w:r>
      <w:r w:rsidRPr="009D5D7B">
        <w:rPr>
          <w:color w:val="000000" w:themeColor="text1"/>
          <w:sz w:val="18"/>
          <w:szCs w:val="18"/>
        </w:rPr>
        <w:br/>
      </w:r>
      <w:r w:rsidRPr="002F3E96">
        <w:rPr>
          <w:color w:val="000000" w:themeColor="text1"/>
          <w:sz w:val="18"/>
          <w:szCs w:val="18"/>
        </w:rPr>
        <w:lastRenderedPageBreak/>
        <w:t xml:space="preserve">e-mail: </w:t>
      </w:r>
      <w:r w:rsidRPr="00C9283D">
        <w:rPr>
          <w:rStyle w:val="Hipercze"/>
          <w:rFonts w:eastAsia="Times New Roman"/>
          <w:bCs/>
          <w:iCs/>
          <w:sz w:val="18"/>
          <w:szCs w:val="18"/>
          <w:lang w:eastAsia="sv-SE" w:bidi="ar-SA"/>
        </w:rPr>
        <w:t>lukasz.kucinski@termika.orlen.pl</w:t>
      </w:r>
      <w:r w:rsidRPr="009D5D7B">
        <w:rPr>
          <w:color w:val="000000" w:themeColor="text1"/>
          <w:sz w:val="18"/>
          <w:szCs w:val="18"/>
        </w:rPr>
        <w:t xml:space="preserve"> </w:t>
      </w:r>
      <w:bookmarkEnd w:id="0"/>
    </w:p>
    <w:sectPr w:rsidR="001843E5" w:rsidRPr="00CF5F77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D9A56" w14:textId="77777777" w:rsidR="00C826A3" w:rsidRDefault="00C826A3">
      <w:r>
        <w:separator/>
      </w:r>
    </w:p>
  </w:endnote>
  <w:endnote w:type="continuationSeparator" w:id="0">
    <w:p w14:paraId="70261FB7" w14:textId="77777777" w:rsidR="00C826A3" w:rsidRDefault="00C8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1B59" w14:textId="77777777" w:rsidR="00C826A3" w:rsidRDefault="00C826A3">
      <w:r>
        <w:separator/>
      </w:r>
    </w:p>
  </w:footnote>
  <w:footnote w:type="continuationSeparator" w:id="0">
    <w:p w14:paraId="6F1FB7C2" w14:textId="77777777" w:rsidR="00C826A3" w:rsidRDefault="00C8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399A0B0E"/>
    <w:multiLevelType w:val="hybridMultilevel"/>
    <w:tmpl w:val="205E0246"/>
    <w:lvl w:ilvl="0" w:tplc="CCB60794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680C82"/>
    <w:multiLevelType w:val="hybridMultilevel"/>
    <w:tmpl w:val="0450D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617736A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7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9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0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6"/>
  </w:num>
  <w:num w:numId="2" w16cid:durableId="238176078">
    <w:abstractNumId w:val="11"/>
  </w:num>
  <w:num w:numId="3" w16cid:durableId="1355889500">
    <w:abstractNumId w:val="17"/>
  </w:num>
  <w:num w:numId="4" w16cid:durableId="1340621590">
    <w:abstractNumId w:val="5"/>
  </w:num>
  <w:num w:numId="5" w16cid:durableId="1138689380">
    <w:abstractNumId w:val="21"/>
  </w:num>
  <w:num w:numId="6" w16cid:durableId="1490245124">
    <w:abstractNumId w:val="1"/>
  </w:num>
  <w:num w:numId="7" w16cid:durableId="1759404629">
    <w:abstractNumId w:val="18"/>
  </w:num>
  <w:num w:numId="8" w16cid:durableId="1259605702">
    <w:abstractNumId w:val="3"/>
  </w:num>
  <w:num w:numId="9" w16cid:durableId="1915892277">
    <w:abstractNumId w:val="2"/>
  </w:num>
  <w:num w:numId="10" w16cid:durableId="974944343">
    <w:abstractNumId w:val="13"/>
  </w:num>
  <w:num w:numId="11" w16cid:durableId="58554306">
    <w:abstractNumId w:val="15"/>
  </w:num>
  <w:num w:numId="12" w16cid:durableId="13698182">
    <w:abstractNumId w:val="19"/>
  </w:num>
  <w:num w:numId="13" w16cid:durableId="957369020">
    <w:abstractNumId w:val="7"/>
  </w:num>
  <w:num w:numId="14" w16cid:durableId="1812088360">
    <w:abstractNumId w:val="0"/>
  </w:num>
  <w:num w:numId="15" w16cid:durableId="1044405581">
    <w:abstractNumId w:val="20"/>
  </w:num>
  <w:num w:numId="16" w16cid:durableId="1175075454">
    <w:abstractNumId w:val="4"/>
  </w:num>
  <w:num w:numId="17" w16cid:durableId="2034110867">
    <w:abstractNumId w:val="9"/>
  </w:num>
  <w:num w:numId="18" w16cid:durableId="430857259">
    <w:abstractNumId w:val="6"/>
  </w:num>
  <w:num w:numId="19" w16cid:durableId="1083647462">
    <w:abstractNumId w:val="12"/>
  </w:num>
  <w:num w:numId="20" w16cid:durableId="141243461">
    <w:abstractNumId w:val="8"/>
  </w:num>
  <w:num w:numId="21" w16cid:durableId="22632282">
    <w:abstractNumId w:val="14"/>
  </w:num>
  <w:num w:numId="22" w16cid:durableId="341473969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23C9D"/>
    <w:rsid w:val="00030BB4"/>
    <w:rsid w:val="000333E2"/>
    <w:rsid w:val="00035785"/>
    <w:rsid w:val="000377EF"/>
    <w:rsid w:val="00043C67"/>
    <w:rsid w:val="00046808"/>
    <w:rsid w:val="000479A0"/>
    <w:rsid w:val="00056473"/>
    <w:rsid w:val="0006159D"/>
    <w:rsid w:val="00064524"/>
    <w:rsid w:val="000739CC"/>
    <w:rsid w:val="00077107"/>
    <w:rsid w:val="00090453"/>
    <w:rsid w:val="00093AAF"/>
    <w:rsid w:val="000A6FCD"/>
    <w:rsid w:val="000B3104"/>
    <w:rsid w:val="000D3E8E"/>
    <w:rsid w:val="000E433E"/>
    <w:rsid w:val="000E5BF6"/>
    <w:rsid w:val="000F0598"/>
    <w:rsid w:val="000F5785"/>
    <w:rsid w:val="001006D1"/>
    <w:rsid w:val="001106E6"/>
    <w:rsid w:val="00125851"/>
    <w:rsid w:val="00147499"/>
    <w:rsid w:val="001613CD"/>
    <w:rsid w:val="001622D9"/>
    <w:rsid w:val="00163BC9"/>
    <w:rsid w:val="001843E5"/>
    <w:rsid w:val="001957FE"/>
    <w:rsid w:val="001A2DE6"/>
    <w:rsid w:val="001B6886"/>
    <w:rsid w:val="001C006C"/>
    <w:rsid w:val="001C315B"/>
    <w:rsid w:val="001C6833"/>
    <w:rsid w:val="001C6DBD"/>
    <w:rsid w:val="001D0801"/>
    <w:rsid w:val="001D6359"/>
    <w:rsid w:val="001F05C4"/>
    <w:rsid w:val="00201BFB"/>
    <w:rsid w:val="002100FD"/>
    <w:rsid w:val="00232BB3"/>
    <w:rsid w:val="0024661E"/>
    <w:rsid w:val="002479BC"/>
    <w:rsid w:val="00270C7A"/>
    <w:rsid w:val="00283842"/>
    <w:rsid w:val="00296E01"/>
    <w:rsid w:val="002B1772"/>
    <w:rsid w:val="002B1D0F"/>
    <w:rsid w:val="002B2501"/>
    <w:rsid w:val="002B2CBA"/>
    <w:rsid w:val="002C5A0F"/>
    <w:rsid w:val="002C5A3A"/>
    <w:rsid w:val="002D0A29"/>
    <w:rsid w:val="002D0DFB"/>
    <w:rsid w:val="002D193C"/>
    <w:rsid w:val="002D5977"/>
    <w:rsid w:val="002E281B"/>
    <w:rsid w:val="002E4C10"/>
    <w:rsid w:val="002F2347"/>
    <w:rsid w:val="002F2433"/>
    <w:rsid w:val="002F3E96"/>
    <w:rsid w:val="00314E37"/>
    <w:rsid w:val="003222BB"/>
    <w:rsid w:val="00341D47"/>
    <w:rsid w:val="003446A8"/>
    <w:rsid w:val="00346801"/>
    <w:rsid w:val="003519B4"/>
    <w:rsid w:val="0036025F"/>
    <w:rsid w:val="00375D29"/>
    <w:rsid w:val="00380DB1"/>
    <w:rsid w:val="00381017"/>
    <w:rsid w:val="00381455"/>
    <w:rsid w:val="003B16E8"/>
    <w:rsid w:val="003B5936"/>
    <w:rsid w:val="003B6061"/>
    <w:rsid w:val="003F06F8"/>
    <w:rsid w:val="003F514E"/>
    <w:rsid w:val="003F6AA8"/>
    <w:rsid w:val="00402C82"/>
    <w:rsid w:val="00403183"/>
    <w:rsid w:val="004035C7"/>
    <w:rsid w:val="004163A3"/>
    <w:rsid w:val="00442FED"/>
    <w:rsid w:val="004641C5"/>
    <w:rsid w:val="00467D4D"/>
    <w:rsid w:val="004743D3"/>
    <w:rsid w:val="004A0A4F"/>
    <w:rsid w:val="004B07E5"/>
    <w:rsid w:val="004C5198"/>
    <w:rsid w:val="004C6AA8"/>
    <w:rsid w:val="004D3CD4"/>
    <w:rsid w:val="004D6823"/>
    <w:rsid w:val="004E03D7"/>
    <w:rsid w:val="004E2F8C"/>
    <w:rsid w:val="004E3159"/>
    <w:rsid w:val="005029B2"/>
    <w:rsid w:val="0050366D"/>
    <w:rsid w:val="00530653"/>
    <w:rsid w:val="00556F0F"/>
    <w:rsid w:val="0057039E"/>
    <w:rsid w:val="00591258"/>
    <w:rsid w:val="005A6957"/>
    <w:rsid w:val="005B47C9"/>
    <w:rsid w:val="005C5014"/>
    <w:rsid w:val="005D45A7"/>
    <w:rsid w:val="005F1337"/>
    <w:rsid w:val="005F28C3"/>
    <w:rsid w:val="00613883"/>
    <w:rsid w:val="006143FF"/>
    <w:rsid w:val="006448B7"/>
    <w:rsid w:val="0066476A"/>
    <w:rsid w:val="00683E6B"/>
    <w:rsid w:val="00686F02"/>
    <w:rsid w:val="00687E11"/>
    <w:rsid w:val="00693CC7"/>
    <w:rsid w:val="006A768F"/>
    <w:rsid w:val="006D31C6"/>
    <w:rsid w:val="006E5D91"/>
    <w:rsid w:val="006F5698"/>
    <w:rsid w:val="00701D5B"/>
    <w:rsid w:val="007105F5"/>
    <w:rsid w:val="00727E4E"/>
    <w:rsid w:val="00730A5E"/>
    <w:rsid w:val="00743D8A"/>
    <w:rsid w:val="00745342"/>
    <w:rsid w:val="007566E6"/>
    <w:rsid w:val="00757524"/>
    <w:rsid w:val="00773EF0"/>
    <w:rsid w:val="007C03A2"/>
    <w:rsid w:val="007C06A8"/>
    <w:rsid w:val="007D01A1"/>
    <w:rsid w:val="007D1DAF"/>
    <w:rsid w:val="007D5DF8"/>
    <w:rsid w:val="007E5385"/>
    <w:rsid w:val="00823AE9"/>
    <w:rsid w:val="0082584C"/>
    <w:rsid w:val="008321E4"/>
    <w:rsid w:val="00841030"/>
    <w:rsid w:val="00841AE5"/>
    <w:rsid w:val="00854E1E"/>
    <w:rsid w:val="00860D77"/>
    <w:rsid w:val="00866C8F"/>
    <w:rsid w:val="00870234"/>
    <w:rsid w:val="0087197C"/>
    <w:rsid w:val="008828C9"/>
    <w:rsid w:val="008967B2"/>
    <w:rsid w:val="008B047A"/>
    <w:rsid w:val="008C291D"/>
    <w:rsid w:val="008D1E0F"/>
    <w:rsid w:val="008D4FA5"/>
    <w:rsid w:val="00910906"/>
    <w:rsid w:val="00916131"/>
    <w:rsid w:val="00916307"/>
    <w:rsid w:val="00917004"/>
    <w:rsid w:val="00935FAE"/>
    <w:rsid w:val="00943529"/>
    <w:rsid w:val="00952041"/>
    <w:rsid w:val="00956C3E"/>
    <w:rsid w:val="00965F06"/>
    <w:rsid w:val="00966DDE"/>
    <w:rsid w:val="00985231"/>
    <w:rsid w:val="00985B54"/>
    <w:rsid w:val="009B192F"/>
    <w:rsid w:val="009D6900"/>
    <w:rsid w:val="009F01D4"/>
    <w:rsid w:val="00A14DEC"/>
    <w:rsid w:val="00A15BB0"/>
    <w:rsid w:val="00A17816"/>
    <w:rsid w:val="00A66839"/>
    <w:rsid w:val="00A74EC7"/>
    <w:rsid w:val="00AA1A34"/>
    <w:rsid w:val="00AA46E5"/>
    <w:rsid w:val="00AD4B2D"/>
    <w:rsid w:val="00AF409E"/>
    <w:rsid w:val="00B03197"/>
    <w:rsid w:val="00B070DB"/>
    <w:rsid w:val="00B15F9A"/>
    <w:rsid w:val="00B32173"/>
    <w:rsid w:val="00B46A75"/>
    <w:rsid w:val="00B731EF"/>
    <w:rsid w:val="00B734FC"/>
    <w:rsid w:val="00B8385B"/>
    <w:rsid w:val="00B84577"/>
    <w:rsid w:val="00B87952"/>
    <w:rsid w:val="00B95543"/>
    <w:rsid w:val="00BA69EE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52E7"/>
    <w:rsid w:val="00C16730"/>
    <w:rsid w:val="00C200FE"/>
    <w:rsid w:val="00C22898"/>
    <w:rsid w:val="00C333A0"/>
    <w:rsid w:val="00C37035"/>
    <w:rsid w:val="00C414F8"/>
    <w:rsid w:val="00C4433E"/>
    <w:rsid w:val="00C51774"/>
    <w:rsid w:val="00C80831"/>
    <w:rsid w:val="00C826A3"/>
    <w:rsid w:val="00C8738B"/>
    <w:rsid w:val="00C9119E"/>
    <w:rsid w:val="00C913AA"/>
    <w:rsid w:val="00C9283D"/>
    <w:rsid w:val="00C93FDE"/>
    <w:rsid w:val="00CA17BE"/>
    <w:rsid w:val="00CB074C"/>
    <w:rsid w:val="00CB3ABB"/>
    <w:rsid w:val="00CB3F55"/>
    <w:rsid w:val="00CC0EBF"/>
    <w:rsid w:val="00CC5960"/>
    <w:rsid w:val="00CD2F51"/>
    <w:rsid w:val="00CD6080"/>
    <w:rsid w:val="00CE1254"/>
    <w:rsid w:val="00CF30FF"/>
    <w:rsid w:val="00CF5F77"/>
    <w:rsid w:val="00D0015A"/>
    <w:rsid w:val="00D061BC"/>
    <w:rsid w:val="00D11423"/>
    <w:rsid w:val="00D11A2A"/>
    <w:rsid w:val="00D276FA"/>
    <w:rsid w:val="00D32106"/>
    <w:rsid w:val="00D327FD"/>
    <w:rsid w:val="00D456BC"/>
    <w:rsid w:val="00D52EAD"/>
    <w:rsid w:val="00D53450"/>
    <w:rsid w:val="00D54971"/>
    <w:rsid w:val="00D64607"/>
    <w:rsid w:val="00D65B7C"/>
    <w:rsid w:val="00D72D9B"/>
    <w:rsid w:val="00D7380D"/>
    <w:rsid w:val="00D773B6"/>
    <w:rsid w:val="00D84D0A"/>
    <w:rsid w:val="00D91B3A"/>
    <w:rsid w:val="00D9702E"/>
    <w:rsid w:val="00DA3A3A"/>
    <w:rsid w:val="00DC31D2"/>
    <w:rsid w:val="00DD4D63"/>
    <w:rsid w:val="00DD4E6D"/>
    <w:rsid w:val="00DE504A"/>
    <w:rsid w:val="00DE518D"/>
    <w:rsid w:val="00DF0446"/>
    <w:rsid w:val="00DF2442"/>
    <w:rsid w:val="00DF722F"/>
    <w:rsid w:val="00E47D59"/>
    <w:rsid w:val="00E52B4F"/>
    <w:rsid w:val="00E67CDA"/>
    <w:rsid w:val="00E764CD"/>
    <w:rsid w:val="00EA68E7"/>
    <w:rsid w:val="00EA7AF6"/>
    <w:rsid w:val="00EC1F4C"/>
    <w:rsid w:val="00EC38EE"/>
    <w:rsid w:val="00ED0183"/>
    <w:rsid w:val="00EE2D92"/>
    <w:rsid w:val="00F043E2"/>
    <w:rsid w:val="00F31A7A"/>
    <w:rsid w:val="00F36AD9"/>
    <w:rsid w:val="00F50B0F"/>
    <w:rsid w:val="00F536EE"/>
    <w:rsid w:val="00F72F27"/>
    <w:rsid w:val="00F74645"/>
    <w:rsid w:val="00F84D3D"/>
    <w:rsid w:val="00FA2C5A"/>
    <w:rsid w:val="00FB4751"/>
    <w:rsid w:val="00FB4CF9"/>
    <w:rsid w:val="00FC02EC"/>
    <w:rsid w:val="00FC04A8"/>
    <w:rsid w:val="00FC1D33"/>
    <w:rsid w:val="00FC4EE7"/>
    <w:rsid w:val="00FD77BF"/>
    <w:rsid w:val="00FE02AF"/>
    <w:rsid w:val="00FE1340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br.podatki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ek.kujawa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2162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Kuciński Łukasz</cp:lastModifiedBy>
  <cp:revision>11</cp:revision>
  <dcterms:created xsi:type="dcterms:W3CDTF">2026-02-02T10:38:00Z</dcterms:created>
  <dcterms:modified xsi:type="dcterms:W3CDTF">2026-02-04T11:23:00Z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